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Autonomy Progression Record</w:t>
      </w:r>
    </w:p>
    <w:p>
      <w:r>
        <w:t>Purpose:</w:t>
        <w:br/>
        <w:t>This record documents any deliberate change to an agent’s level of autonomy. It ensures autonomy changes are evidence-based, explicit, and reversible.</w:t>
      </w:r>
    </w:p>
    <w:p>
      <w:r>
        <w:t>Accountability:</w:t>
        <w:br/>
        <w:t>Accountable FTE: Delivery Owner</w:t>
      </w:r>
    </w:p>
    <w:p>
      <w:pPr>
        <w:pStyle w:val="Heading3"/>
      </w:pPr>
      <w:r>
        <w:t>Agent Name</w:t>
      </w:r>
    </w:p>
    <w:p>
      <w:r>
        <w:br/>
        <w:br/>
      </w:r>
    </w:p>
    <w:p>
      <w:pPr>
        <w:pStyle w:val="Heading3"/>
      </w:pPr>
      <w:r>
        <w:t>Previous Autonomy Level</w:t>
      </w:r>
    </w:p>
    <w:p>
      <w:r>
        <w:br/>
        <w:br/>
      </w:r>
    </w:p>
    <w:p>
      <w:pPr>
        <w:pStyle w:val="Heading3"/>
      </w:pPr>
      <w:r>
        <w:t>Proposed Autonomy Level</w:t>
      </w:r>
    </w:p>
    <w:p>
      <w:r>
        <w:br/>
        <w:br/>
      </w:r>
    </w:p>
    <w:p>
      <w:pPr>
        <w:pStyle w:val="Heading3"/>
      </w:pPr>
      <w:r>
        <w:t>Evidence Supporting Change</w:t>
      </w:r>
    </w:p>
    <w:p>
      <w:r>
        <w:br/>
        <w:br/>
      </w:r>
    </w:p>
    <w:p>
      <w:pPr>
        <w:pStyle w:val="Heading3"/>
      </w:pPr>
      <w:r>
        <w:t>Risks Considered</w:t>
      </w:r>
    </w:p>
    <w:p>
      <w:r>
        <w:br/>
        <w:br/>
      </w:r>
    </w:p>
    <w:p>
      <w:pPr>
        <w:pStyle w:val="Heading3"/>
      </w:pPr>
      <w:r>
        <w:t>Reversibility Plan</w:t>
      </w:r>
    </w:p>
    <w:p>
      <w:r>
        <w:br/>
        <w:br/>
      </w:r>
    </w:p>
    <w:p>
      <w:pPr>
        <w:pStyle w:val="Heading3"/>
      </w:pPr>
      <w:r>
        <w:t>Decision Date</w:t>
      </w:r>
    </w:p>
    <w:p>
      <w:r>
        <w:br/>
        <w:br/>
      </w:r>
    </w:p>
    <w:p>
      <w:pPr>
        <w:pStyle w:val="Heading3"/>
      </w:pPr>
      <w:r>
        <w:t>Decision Owner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