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Entry to Delivery Checklist</w:t>
      </w:r>
    </w:p>
    <w:p>
      <w:r>
        <w:t>Purpose:</w:t>
        <w:br/>
        <w:t>This checklist confirms that an AI agent is ready to enter real delivery. It ensures clarity of ownership, scope, autonomy, and reversibility at the point AI becomes part of everyday work.</w:t>
      </w:r>
    </w:p>
    <w:p>
      <w:r>
        <w:t>Accountability:</w:t>
        <w:br/>
        <w:t>Accountable FTE: Delivery Owner</w:t>
      </w:r>
    </w:p>
    <w:p>
      <w:pPr>
        <w:pStyle w:val="Heading3"/>
      </w:pPr>
      <w:r>
        <w:t>Agent Name</w:t>
      </w:r>
    </w:p>
    <w:p>
      <w:r>
        <w:br/>
        <w:br/>
      </w:r>
    </w:p>
    <w:p>
      <w:pPr>
        <w:pStyle w:val="Heading3"/>
      </w:pPr>
      <w:r>
        <w:t>Delivery Context</w:t>
      </w:r>
    </w:p>
    <w:p>
      <w:r>
        <w:br/>
        <w:br/>
      </w:r>
    </w:p>
    <w:p>
      <w:pPr>
        <w:pStyle w:val="Heading3"/>
      </w:pPr>
      <w:r>
        <w:t>Delivery Owner Confirmed</w:t>
      </w:r>
    </w:p>
    <w:p>
      <w:r>
        <w:br/>
        <w:br/>
      </w:r>
    </w:p>
    <w:p>
      <w:pPr>
        <w:pStyle w:val="Heading3"/>
      </w:pPr>
      <w:r>
        <w:t>Scope and Exclusions Confirmed</w:t>
      </w:r>
    </w:p>
    <w:p>
      <w:r>
        <w:br/>
        <w:br/>
      </w:r>
    </w:p>
    <w:p>
      <w:pPr>
        <w:pStyle w:val="Heading3"/>
      </w:pPr>
      <w:r>
        <w:t>Initial Autonomy Level Confirmed</w:t>
      </w:r>
    </w:p>
    <w:p>
      <w:r>
        <w:br/>
        <w:br/>
      </w:r>
    </w:p>
    <w:p>
      <w:pPr>
        <w:pStyle w:val="Heading3"/>
      </w:pPr>
      <w:r>
        <w:t>Reversibility Understood</w:t>
      </w:r>
    </w:p>
    <w:p>
      <w:r>
        <w:br/>
        <w:br/>
      </w:r>
    </w:p>
    <w:p>
      <w:pPr>
        <w:pStyle w:val="Heading3"/>
      </w:pPr>
      <w:r>
        <w:t>Ready for Delivery (Yes/No)</w:t>
      </w:r>
    </w:p>
    <w:p>
      <w:r>
        <w:br/>
        <w:br/>
      </w:r>
    </w:p>
    <w:p>
      <w:pPr>
        <w:pStyle w:val="Heading3"/>
      </w:pPr>
      <w:r>
        <w:t>Date</w:t>
      </w:r>
    </w:p>
    <w:p>
      <w:r>
        <w:br/>
        <w:br/>
      </w:r>
    </w:p>
    <w:p>
      <w:pPr>
        <w:pStyle w:val="Heading3"/>
      </w:pPr>
      <w:r>
        <w:t>Reviewer</w:t>
      </w:r>
    </w:p>
    <w:p>
      <w:r>
        <w:br/>
        <w:br/>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Agency of Agents &amp; ADAM Framework – All rights reserved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4320"/>
      <w:gridCol w:w="4320"/>
    </w:tblGrid>
    <w:tr>
      <w:tc>
        <w:tcPr>
          <w:tcW w:type="dxa" w:w="4320"/>
        </w:tcPr>
        <w:p>
          <w:r>
            <w:drawing>
              <wp:inline xmlns:a="http://schemas.openxmlformats.org/drawingml/2006/main" xmlns:pic="http://schemas.openxmlformats.org/drawingml/2006/picture">
                <wp:extent cx="1097280" cy="731520"/>
                <wp:docPr id="1" name="Picture 1"/>
                <wp:cNvGraphicFramePr>
                  <a:graphicFrameLocks noChangeAspect="1"/>
                </wp:cNvGraphicFramePr>
                <a:graphic>
                  <a:graphicData uri="http://schemas.openxmlformats.org/drawingml/2006/picture">
                    <pic:pic>
                      <pic:nvPicPr>
                        <pic:cNvPr id="0" name="logo-agency-of-agents.png"/>
                        <pic:cNvPicPr/>
                      </pic:nvPicPr>
                      <pic:blipFill>
                        <a:blip r:embed="rId1"/>
                        <a:stretch>
                          <a:fillRect/>
                        </a:stretch>
                      </pic:blipFill>
                      <pic:spPr>
                        <a:xfrm>
                          <a:off x="0" y="0"/>
                          <a:ext cx="1097280" cy="731520"/>
                        </a:xfrm>
                        <a:prstGeom prst="rect"/>
                      </pic:spPr>
                    </pic:pic>
                  </a:graphicData>
                </a:graphic>
              </wp:inline>
            </w:drawing>
          </w:r>
        </w:p>
      </w:tc>
      <w:tc>
        <w:tcPr>
          <w:tcW w:type="dxa" w:w="4320"/>
        </w:tcPr>
        <w:p>
          <w:pPr>
            <w:jc w:val="right"/>
          </w:pPr>
          <w:r>
            <w:drawing>
              <wp:inline xmlns:a="http://schemas.openxmlformats.org/drawingml/2006/main" xmlns:pic="http://schemas.openxmlformats.org/drawingml/2006/picture">
                <wp:extent cx="1097280" cy="731520"/>
                <wp:docPr id="2" name="Picture 2"/>
                <wp:cNvGraphicFramePr>
                  <a:graphicFrameLocks noChangeAspect="1"/>
                </wp:cNvGraphicFramePr>
                <a:graphic>
                  <a:graphicData uri="http://schemas.openxmlformats.org/drawingml/2006/picture">
                    <pic:pic>
                      <pic:nvPicPr>
                        <pic:cNvPr id="0" name="logo-adam.png"/>
                        <pic:cNvPicPr/>
                      </pic:nvPicPr>
                      <pic:blipFill>
                        <a:blip r:embed="rId2"/>
                        <a:stretch>
                          <a:fillRect/>
                        </a:stretch>
                      </pic:blipFill>
                      <pic:spPr>
                        <a:xfrm>
                          <a:off x="0" y="0"/>
                          <a:ext cx="1097280" cy="731520"/>
                        </a:xfrm>
                        <a:prstGeom prst="rect"/>
                      </pic:spPr>
                    </pic:pic>
                  </a:graphicData>
                </a:graphic>
              </wp:inline>
            </w:drawing>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