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Maturity Assessment Record</w:t>
      </w:r>
    </w:p>
    <w:p>
      <w:r>
        <w:t>Purpose:</w:t>
        <w:br/>
        <w:t>This record assesses the maturity of AI usage across adoption, validation, accountability, and governance proportionality.</w:t>
      </w:r>
    </w:p>
    <w:p>
      <w:r>
        <w:t>Accountability:</w:t>
        <w:br/>
        <w:t>Accountable FTE: ADAM Evolution Steward</w:t>
      </w:r>
    </w:p>
    <w:p>
      <w:pPr>
        <w:pStyle w:val="Heading3"/>
      </w:pPr>
      <w:r>
        <w:t>Assessment Date</w:t>
      </w:r>
    </w:p>
    <w:p>
      <w:r>
        <w:br/>
        <w:br/>
      </w:r>
    </w:p>
    <w:p>
      <w:pPr>
        <w:pStyle w:val="Heading3"/>
      </w:pPr>
      <w:r>
        <w:t>Agents in Scope</w:t>
      </w:r>
    </w:p>
    <w:p>
      <w:r>
        <w:br/>
        <w:br/>
      </w:r>
    </w:p>
    <w:p>
      <w:pPr>
        <w:pStyle w:val="Heading3"/>
      </w:pPr>
      <w:r>
        <w:t>Adoption Consistency</w:t>
      </w:r>
    </w:p>
    <w:p>
      <w:r>
        <w:br/>
        <w:br/>
      </w:r>
    </w:p>
    <w:p>
      <w:pPr>
        <w:pStyle w:val="Heading3"/>
      </w:pPr>
      <w:r>
        <w:t>Validation Reliability</w:t>
      </w:r>
    </w:p>
    <w:p>
      <w:r>
        <w:br/>
        <w:br/>
      </w:r>
    </w:p>
    <w:p>
      <w:pPr>
        <w:pStyle w:val="Heading3"/>
      </w:pPr>
      <w:r>
        <w:t>Accountability Clarity</w:t>
      </w:r>
    </w:p>
    <w:p>
      <w:r>
        <w:br/>
        <w:br/>
      </w:r>
    </w:p>
    <w:p>
      <w:pPr>
        <w:pStyle w:val="Heading3"/>
      </w:pPr>
      <w:r>
        <w:t>Reversibility Effectiveness</w:t>
      </w:r>
    </w:p>
    <w:p>
      <w:r>
        <w:br/>
        <w:br/>
      </w:r>
    </w:p>
    <w:p>
      <w:pPr>
        <w:pStyle w:val="Heading3"/>
      </w:pPr>
      <w:r>
        <w:t>Overall Maturity State</w:t>
      </w:r>
    </w:p>
    <w:p>
      <w:r>
        <w:br/>
        <w:br/>
      </w:r>
    </w:p>
    <w:p>
      <w:pPr>
        <w:pStyle w:val="Heading3"/>
      </w:pPr>
      <w:r>
        <w:t>Assessor</w:t>
      </w:r>
    </w:p>
    <w:p>
      <w:r>
        <w:br/>
        <w:br/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© Agency of Agents &amp; ADAM Framework – All rights reserved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4320"/>
      <w:gridCol w:w="4320"/>
    </w:tblGrid>
    <w:tr>
      <w:tc>
        <w:tcPr>
          <w:tcW w:type="dxa" w:w="4320"/>
        </w:tcPr>
        <w:p>
          <w:r>
            <w:drawing>
              <wp:inline xmlns:a="http://schemas.openxmlformats.org/drawingml/2006/main" xmlns:pic="http://schemas.openxmlformats.org/drawingml/2006/picture">
                <wp:extent cx="1097280" cy="73152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go-agency-of-agents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73152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320"/>
        </w:tcPr>
        <w:p>
          <w:pPr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1097280" cy="731520"/>
                <wp:docPr id="2" name="Picture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go-adam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73152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