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Risk Context Assessment</w:t>
      </w:r>
    </w:p>
    <w:p>
      <w:r>
        <w:t>Purpose:</w:t>
        <w:br/>
        <w:t>This assessment evaluates how contextual factors influence risk when an AI agent is introduced, reused, or expanded into new environments.</w:t>
      </w:r>
    </w:p>
    <w:p>
      <w:r>
        <w:t>Accountability:</w:t>
        <w:br/>
        <w:t>Accountable FTE: Risk / Compliance Owner (with Delivery Owner)</w:t>
      </w:r>
    </w:p>
    <w:p>
      <w:pPr>
        <w:pStyle w:val="Heading3"/>
      </w:pPr>
      <w:r>
        <w:t>Agent Name</w:t>
      </w:r>
    </w:p>
    <w:p>
      <w:r>
        <w:br/>
        <w:br/>
      </w:r>
    </w:p>
    <w:p>
      <w:pPr>
        <w:pStyle w:val="Heading3"/>
      </w:pPr>
      <w:r>
        <w:t>Context Description</w:t>
      </w:r>
    </w:p>
    <w:p>
      <w:r>
        <w:br/>
        <w:br/>
      </w:r>
    </w:p>
    <w:p>
      <w:pPr>
        <w:pStyle w:val="Heading3"/>
      </w:pPr>
      <w:r>
        <w:t>Data Sensitivity</w:t>
      </w:r>
    </w:p>
    <w:p>
      <w:r>
        <w:br/>
        <w:br/>
      </w:r>
    </w:p>
    <w:p>
      <w:pPr>
        <w:pStyle w:val="Heading3"/>
      </w:pPr>
      <w:r>
        <w:t>Regulatory or Compliance Factors</w:t>
      </w:r>
    </w:p>
    <w:p>
      <w:r>
        <w:br/>
        <w:br/>
      </w:r>
    </w:p>
    <w:p>
      <w:pPr>
        <w:pStyle w:val="Heading3"/>
      </w:pPr>
      <w:r>
        <w:t>Reputational Risk</w:t>
      </w:r>
    </w:p>
    <w:p>
      <w:r>
        <w:br/>
        <w:br/>
      </w:r>
    </w:p>
    <w:p>
      <w:pPr>
        <w:pStyle w:val="Heading3"/>
      </w:pPr>
      <w:r>
        <w:t>Operational Dependence</w:t>
      </w:r>
    </w:p>
    <w:p>
      <w:r>
        <w:br/>
        <w:br/>
      </w:r>
    </w:p>
    <w:p>
      <w:pPr>
        <w:pStyle w:val="Heading3"/>
      </w:pPr>
      <w:r>
        <w:t>Mitigation Actions</w:t>
      </w:r>
    </w:p>
    <w:p>
      <w:r>
        <w:br/>
        <w:br/>
      </w:r>
    </w:p>
    <w:p>
      <w:pPr>
        <w:pStyle w:val="Heading3"/>
      </w:pPr>
      <w:r>
        <w:t>Reviewer</w:t>
      </w:r>
    </w:p>
    <w:p>
      <w:r>
        <w:br/>
        <w:br/>
      </w:r>
    </w:p>
    <w:p>
      <w:pPr>
        <w:pStyle w:val="Heading3"/>
      </w:pPr>
      <w:r>
        <w:t>Review Date</w:t>
      </w:r>
    </w:p>
    <w:p>
      <w:r>
        <w:br/>
        <w:br/>
      </w:r>
    </w:p>
    <w:sectPr w:rsidR="00FC693F" w:rsidRPr="0006063C" w:rsidSect="00034616">
      <w:headerReference w:type="default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t>© Agency of Agents &amp; ADAM Framework – All rights reserved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  <w:tbl>
    <w:tblPr>
      <w:tblW w:type="auto" w:w="0"/>
      <w:tblLook w:firstColumn="1" w:firstRow="1" w:lastColumn="0" w:lastRow="0" w:noHBand="0" w:noVBand="1" w:val="04A0"/>
    </w:tblPr>
    <w:tblGrid>
      <w:gridCol w:w="4320"/>
      <w:gridCol w:w="4320"/>
    </w:tblGrid>
    <w:tr>
      <w:tc>
        <w:tcPr>
          <w:tcW w:type="dxa" w:w="4320"/>
        </w:tcPr>
        <w:p>
          <w:r>
            <w:drawing>
              <wp:inline xmlns:a="http://schemas.openxmlformats.org/drawingml/2006/main" xmlns:pic="http://schemas.openxmlformats.org/drawingml/2006/picture">
                <wp:extent cx="1097280" cy="731520"/>
                <wp:docPr id="1" name="Picture 1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logo-agency-of-agents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7280" cy="731520"/>
                        </a:xfrm>
                        <a:prstGeom prst="rect"/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4320"/>
        </w:tcPr>
        <w:p>
          <w:pPr>
            <w:jc w:val="right"/>
          </w:pPr>
          <w:r>
            <w:drawing>
              <wp:inline xmlns:a="http://schemas.openxmlformats.org/drawingml/2006/main" xmlns:pic="http://schemas.openxmlformats.org/drawingml/2006/picture">
                <wp:extent cx="1097280" cy="731520"/>
                <wp:docPr id="2" name="Picture 2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logo-adam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7280" cy="731520"/>
                        </a:xfrm>
                        <a:prstGeom prst="rect"/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