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Trust and Validation Log</w:t>
      </w:r>
    </w:p>
    <w:p>
      <w:r>
        <w:t>Purpose:</w:t>
        <w:br/>
        <w:t>This log captures evidence that supports or challenges trust in an AI agent during real use. It operationalises the trust-but-verify principle.</w:t>
      </w:r>
    </w:p>
    <w:p>
      <w:r>
        <w:t>Accountability:</w:t>
        <w:br/>
        <w:t>Accountable FTE: Delivery Owner</w:t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Usage Period</w:t>
      </w:r>
    </w:p>
    <w:p>
      <w:r>
        <w:br/>
        <w:br/>
      </w:r>
    </w:p>
    <w:p>
      <w:pPr>
        <w:pStyle w:val="Heading3"/>
      </w:pPr>
      <w:r>
        <w:t>Adoption Observations</w:t>
      </w:r>
    </w:p>
    <w:p>
      <w:r>
        <w:br/>
        <w:br/>
      </w:r>
    </w:p>
    <w:p>
      <w:pPr>
        <w:pStyle w:val="Heading3"/>
      </w:pPr>
      <w:r>
        <w:t>Validation Results</w:t>
      </w:r>
    </w:p>
    <w:p>
      <w:r>
        <w:br/>
        <w:br/>
      </w:r>
    </w:p>
    <w:p>
      <w:pPr>
        <w:pStyle w:val="Heading3"/>
      </w:pPr>
      <w:r>
        <w:t>Corrections or Overrides</w:t>
      </w:r>
    </w:p>
    <w:p>
      <w:r>
        <w:br/>
        <w:br/>
      </w:r>
    </w:p>
    <w:p>
      <w:pPr>
        <w:pStyle w:val="Heading3"/>
      </w:pPr>
      <w:r>
        <w:t>Issues Identified</w:t>
      </w:r>
    </w:p>
    <w:p>
      <w:r>
        <w:br/>
        <w:br/>
      </w:r>
    </w:p>
    <w:p>
      <w:pPr>
        <w:pStyle w:val="Heading3"/>
      </w:pPr>
      <w:r>
        <w:t>Next Review Date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